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9C4B" w14:textId="77777777" w:rsidR="00E6284C" w:rsidRDefault="00E6284C" w:rsidP="00875281">
      <w:pPr>
        <w:pStyle w:val="APA"/>
      </w:pPr>
    </w:p>
    <w:p w14:paraId="58E09CA5" w14:textId="77777777" w:rsidR="00875281" w:rsidRDefault="00875281" w:rsidP="00875281">
      <w:pPr>
        <w:pStyle w:val="APA"/>
      </w:pPr>
    </w:p>
    <w:p w14:paraId="3BE65702" w14:textId="77777777" w:rsidR="00875281" w:rsidRDefault="00875281" w:rsidP="00875281">
      <w:pPr>
        <w:pStyle w:val="APA"/>
      </w:pPr>
    </w:p>
    <w:p w14:paraId="0EA4C53E" w14:textId="77777777" w:rsidR="00875281" w:rsidRDefault="00875281" w:rsidP="00875281">
      <w:pPr>
        <w:pStyle w:val="APA"/>
      </w:pPr>
    </w:p>
    <w:p w14:paraId="622F8302" w14:textId="77777777" w:rsidR="00875281" w:rsidRDefault="00875281" w:rsidP="00875281">
      <w:pPr>
        <w:pStyle w:val="APA"/>
      </w:pPr>
    </w:p>
    <w:p w14:paraId="53C1D95D" w14:textId="441FBD3E" w:rsidR="00875281" w:rsidRDefault="00D93407" w:rsidP="00D93407">
      <w:pPr>
        <w:pStyle w:val="APA"/>
        <w:jc w:val="center"/>
      </w:pPr>
      <w:commentRangeStart w:id="0"/>
      <w:r>
        <w:t>x</w:t>
      </w:r>
      <w:commentRangeEnd w:id="0"/>
      <w:r>
        <w:rPr>
          <w:rStyle w:val="CommentReference"/>
        </w:rPr>
        <w:commentReference w:id="0"/>
      </w:r>
    </w:p>
    <w:p w14:paraId="4EBCA55E" w14:textId="77777777" w:rsidR="00875281" w:rsidRDefault="00875281" w:rsidP="00875281">
      <w:pPr>
        <w:pStyle w:val="APA"/>
      </w:pPr>
    </w:p>
    <w:p w14:paraId="3620E629" w14:textId="77777777" w:rsidR="00875281" w:rsidRDefault="00875281" w:rsidP="00875281">
      <w:pPr>
        <w:pStyle w:val="APAHeadingCenter"/>
      </w:pPr>
      <w:bookmarkStart w:id="1" w:name="bmTitlePageTitle"/>
      <w:commentRangeStart w:id="2"/>
      <w:r>
        <w:t>Mandatory Insurance Mandate</w:t>
      </w:r>
      <w:bookmarkStart w:id="3" w:name="_GoBack"/>
      <w:bookmarkEnd w:id="1"/>
      <w:bookmarkEnd w:id="3"/>
    </w:p>
    <w:p w14:paraId="272A72A9" w14:textId="77777777" w:rsidR="00875281" w:rsidRDefault="00875281" w:rsidP="00875281">
      <w:pPr>
        <w:pStyle w:val="APAHeadingCenter"/>
      </w:pPr>
      <w:bookmarkStart w:id="4" w:name="bmTitlePageName"/>
      <w:r w:rsidRPr="00C14999">
        <w:rPr>
          <w:highlight w:val="black"/>
        </w:rPr>
        <w:t>Brooke Salas</w:t>
      </w:r>
      <w:bookmarkEnd w:id="4"/>
    </w:p>
    <w:p w14:paraId="227D86FA" w14:textId="77777777" w:rsidR="00875281" w:rsidRDefault="00875281" w:rsidP="00875281">
      <w:pPr>
        <w:pStyle w:val="APAHeadingCenter"/>
      </w:pPr>
      <w:bookmarkStart w:id="5" w:name="bmTitlePageInst"/>
      <w:r w:rsidRPr="00C14999">
        <w:rPr>
          <w:highlight w:val="black"/>
        </w:rPr>
        <w:t>Maryville</w:t>
      </w:r>
      <w:r>
        <w:t xml:space="preserve"> University of St.Louis</w:t>
      </w:r>
      <w:bookmarkEnd w:id="5"/>
    </w:p>
    <w:p w14:paraId="44AFE688" w14:textId="77777777" w:rsidR="00875281" w:rsidRDefault="00875281" w:rsidP="00875281">
      <w:pPr>
        <w:pStyle w:val="APAHeadingCenter"/>
      </w:pPr>
      <w:bookmarkStart w:id="6" w:name="bmTitleAdd1"/>
      <w:r>
        <w:t>Health Care Policy</w:t>
      </w:r>
      <w:bookmarkEnd w:id="6"/>
      <w:commentRangeEnd w:id="2"/>
      <w:r w:rsidR="001D7587">
        <w:rPr>
          <w:rStyle w:val="CommentReference"/>
        </w:rPr>
        <w:commentReference w:id="2"/>
      </w:r>
    </w:p>
    <w:p w14:paraId="2B2BD4B6" w14:textId="77777777" w:rsidR="00875281" w:rsidRDefault="00875281" w:rsidP="00875281">
      <w:pPr>
        <w:pStyle w:val="APAHeadingCenter"/>
      </w:pPr>
      <w:bookmarkStart w:id="7" w:name="bmTitleAdd2"/>
      <w:bookmarkEnd w:id="7"/>
    </w:p>
    <w:p w14:paraId="4B8C13C5" w14:textId="77777777" w:rsidR="00875281" w:rsidRDefault="00875281" w:rsidP="00875281">
      <w:pPr>
        <w:pStyle w:val="APAHeadingCenter"/>
      </w:pPr>
      <w:bookmarkStart w:id="8" w:name="bmTitleAdd3"/>
      <w:bookmarkEnd w:id="8"/>
    </w:p>
    <w:p w14:paraId="57DF5B9C" w14:textId="77777777" w:rsidR="00875281" w:rsidRDefault="00875281" w:rsidP="00875281">
      <w:pPr>
        <w:pStyle w:val="APAHeadingCenter"/>
      </w:pPr>
      <w:bookmarkStart w:id="9" w:name="bmTitleAdd4"/>
      <w:r>
        <w:t>May 02, 2013</w:t>
      </w:r>
      <w:bookmarkEnd w:id="9"/>
    </w:p>
    <w:p w14:paraId="2ECA50DB" w14:textId="77777777" w:rsidR="00875281" w:rsidRDefault="00875281" w:rsidP="00875281">
      <w:pPr>
        <w:pStyle w:val="APA"/>
        <w:sectPr w:rsidR="00875281" w:rsidSect="00875281">
          <w:headerReference w:type="default" r:id="rId8"/>
          <w:headerReference w:type="first" r:id="rId9"/>
          <w:pgSz w:w="12240" w:h="15840" w:code="1"/>
          <w:pgMar w:top="1440" w:right="1440" w:bottom="1440" w:left="1440" w:header="720" w:footer="720" w:gutter="0"/>
          <w:cols w:space="720"/>
          <w:titlePg/>
          <w:docGrid w:linePitch="360"/>
        </w:sectPr>
      </w:pPr>
    </w:p>
    <w:p w14:paraId="228CAB97" w14:textId="77777777" w:rsidR="00875281" w:rsidRDefault="007617C8" w:rsidP="007617C8">
      <w:pPr>
        <w:pStyle w:val="APA"/>
        <w:ind w:firstLine="4680"/>
        <w:sectPr w:rsidR="00875281" w:rsidSect="00875281">
          <w:headerReference w:type="first" r:id="rId10"/>
          <w:type w:val="continuous"/>
          <w:pgSz w:w="12240" w:h="15840" w:code="1"/>
          <w:pgMar w:top="1440" w:right="1440" w:bottom="1440" w:left="1440" w:header="720" w:footer="720" w:gutter="0"/>
          <w:cols w:space="720"/>
          <w:titlePg/>
          <w:docGrid w:linePitch="360"/>
        </w:sectPr>
      </w:pPr>
      <w:r>
        <w:t xml:space="preserve"> </w:t>
      </w:r>
    </w:p>
    <w:p w14:paraId="099F8505" w14:textId="77777777" w:rsidR="00875281" w:rsidRDefault="00875281" w:rsidP="00875281">
      <w:pPr>
        <w:pStyle w:val="APAHeadingCenter"/>
      </w:pPr>
      <w:bookmarkStart w:id="10" w:name="bmFirstPageTitle"/>
      <w:r>
        <w:lastRenderedPageBreak/>
        <w:t>Mandatory Insurance Mandate</w:t>
      </w:r>
      <w:bookmarkEnd w:id="10"/>
    </w:p>
    <w:p w14:paraId="47BEB708" w14:textId="77777777" w:rsidR="0059030E" w:rsidRDefault="0059030E" w:rsidP="00FA1C4F">
      <w:pPr>
        <w:pStyle w:val="APA"/>
      </w:pPr>
    </w:p>
    <w:p w14:paraId="7A8079CE" w14:textId="77777777" w:rsidR="00FA1C4F" w:rsidRPr="00956BC6" w:rsidRDefault="002E51BC" w:rsidP="00FA1C4F">
      <w:pPr>
        <w:pStyle w:val="APA"/>
      </w:pPr>
      <w:r>
        <w:t xml:space="preserve">There are currently </w:t>
      </w:r>
      <w:r w:rsidR="00567227">
        <w:t xml:space="preserve">50 million people in the US </w:t>
      </w:r>
      <w:commentRangeStart w:id="11"/>
      <w:r w:rsidR="00567227">
        <w:t>that</w:t>
      </w:r>
      <w:commentRangeEnd w:id="11"/>
      <w:r w:rsidR="00AE1942">
        <w:rPr>
          <w:rStyle w:val="CommentReference"/>
        </w:rPr>
        <w:commentReference w:id="11"/>
      </w:r>
      <w:r w:rsidR="00567227">
        <w:t xml:space="preserve"> lack health insurance. </w:t>
      </w:r>
      <w:bookmarkStart w:id="12" w:name="C413545462152778I0T413995367708333"/>
      <w:r w:rsidR="00567227">
        <w:t>(Milstead, 2013)</w:t>
      </w:r>
      <w:bookmarkEnd w:id="12"/>
      <w:r w:rsidR="00111D07" w:rsidRPr="00111D07">
        <w:t xml:space="preserve"> In the US alone</w:t>
      </w:r>
      <w:commentRangeStart w:id="13"/>
      <w:r w:rsidR="00111D07" w:rsidRPr="00111D07">
        <w:t xml:space="preserve"> </w:t>
      </w:r>
      <w:commentRangeEnd w:id="13"/>
      <w:r w:rsidR="00AE1942">
        <w:rPr>
          <w:rStyle w:val="CommentReference"/>
        </w:rPr>
        <w:commentReference w:id="13"/>
      </w:r>
      <w:commentRangeStart w:id="14"/>
      <w:r w:rsidR="00111D07" w:rsidRPr="00111D07">
        <w:t>75%</w:t>
      </w:r>
      <w:commentRangeEnd w:id="14"/>
      <w:r w:rsidR="00AE1942">
        <w:rPr>
          <w:rStyle w:val="CommentReference"/>
        </w:rPr>
        <w:commentReference w:id="14"/>
      </w:r>
      <w:r w:rsidR="00111D07" w:rsidRPr="00111D07">
        <w:t xml:space="preserve"> of bankruptcies are considered medical bankruptcies largely due to people not having insurance coverage</w:t>
      </w:r>
      <w:commentRangeStart w:id="15"/>
      <w:r w:rsidR="004A091D">
        <w:t>.</w:t>
      </w:r>
      <w:bookmarkStart w:id="16" w:name="C413889087152778I0T413995495138889"/>
      <w:r w:rsidR="004A091D">
        <w:t>(McCaughey, 2008)</w:t>
      </w:r>
      <w:bookmarkEnd w:id="16"/>
      <w:r w:rsidR="004A091D">
        <w:t xml:space="preserve"> </w:t>
      </w:r>
      <w:commentRangeEnd w:id="15"/>
      <w:r w:rsidR="00AE1942">
        <w:rPr>
          <w:rStyle w:val="CommentReference"/>
        </w:rPr>
        <w:commentReference w:id="15"/>
      </w:r>
      <w:r w:rsidR="004A091D">
        <w:t>Interestingly</w:t>
      </w:r>
      <w:commentRangeStart w:id="17"/>
      <w:r w:rsidR="004A091D">
        <w:t xml:space="preserve"> </w:t>
      </w:r>
      <w:commentRangeEnd w:id="17"/>
      <w:r w:rsidR="00AE1942">
        <w:rPr>
          <w:rStyle w:val="CommentReference"/>
        </w:rPr>
        <w:commentReference w:id="17"/>
      </w:r>
      <w:r w:rsidR="004A091D">
        <w:t>an individual mandate to purchase healthcare was proposed by the politically conservative Heritage Foundation in 1989 as an alternative to single</w:t>
      </w:r>
      <w:commentRangeStart w:id="18"/>
      <w:r w:rsidR="004A091D">
        <w:t xml:space="preserve"> </w:t>
      </w:r>
      <w:commentRangeEnd w:id="18"/>
      <w:r w:rsidR="00AE1942">
        <w:rPr>
          <w:rStyle w:val="CommentReference"/>
        </w:rPr>
        <w:commentReference w:id="18"/>
      </w:r>
      <w:r w:rsidR="004A091D">
        <w:t xml:space="preserve">payer healthcare. </w:t>
      </w:r>
      <w:bookmarkStart w:id="19" w:name="C413995523148148I0T413995534722222"/>
      <w:r w:rsidR="004A091D">
        <w:t>(Moeller, 2012)</w:t>
      </w:r>
      <w:bookmarkEnd w:id="19"/>
      <w:r w:rsidR="004A091D">
        <w:t xml:space="preserve"> In addition to assisting the uninsured</w:t>
      </w:r>
      <w:commentRangeStart w:id="20"/>
      <w:r w:rsidR="004A091D">
        <w:t xml:space="preserve"> </w:t>
      </w:r>
      <w:commentRangeEnd w:id="20"/>
      <w:r w:rsidR="00AE1942">
        <w:rPr>
          <w:rStyle w:val="CommentReference"/>
        </w:rPr>
        <w:commentReference w:id="20"/>
      </w:r>
      <w:r w:rsidR="004A091D">
        <w:t xml:space="preserve">this mandate would allow </w:t>
      </w:r>
      <w:commentRangeStart w:id="21"/>
      <w:r w:rsidR="004A091D">
        <w:t>for</w:t>
      </w:r>
      <w:commentRangeEnd w:id="21"/>
      <w:r w:rsidR="00AE1942">
        <w:rPr>
          <w:rStyle w:val="CommentReference"/>
        </w:rPr>
        <w:commentReference w:id="21"/>
      </w:r>
      <w:r w:rsidR="004A091D">
        <w:t xml:space="preserve"> persons to obtain health care regardless of pre-existing conditions and or financial status.</w:t>
      </w:r>
      <w:r w:rsidR="00FA1C4F" w:rsidRPr="00FA1C4F">
        <w:t xml:space="preserve"> </w:t>
      </w:r>
      <w:commentRangeStart w:id="22"/>
      <w:r w:rsidR="00956BC6">
        <w:t>“</w:t>
      </w:r>
      <w:commentRangeEnd w:id="22"/>
      <w:r w:rsidR="00AE1942">
        <w:rPr>
          <w:rStyle w:val="CommentReference"/>
        </w:rPr>
        <w:commentReference w:id="22"/>
      </w:r>
      <w:r w:rsidR="00FA1C4F">
        <w:t>O</w:t>
      </w:r>
      <w:r w:rsidR="00FA1C4F" w:rsidRPr="00FA1C4F">
        <w:t>n March 23, 2010, President Obama signed into law the nation’s first comprehensive health care reform bill, the Patient Protection and Affordable Care Act. Within weeks, twenty states filed lawsuits challenging the constitutionality of its most politically charged feature—an individual purchase mandate. By 2014, the bill requires most individuals to have health insurance. With certain exceptions (pertaining to income level and religious objections), individuals without qualifying coverage will pay an annual tax penalty reaching the greater of $695 ($2,085 per family maximum) or 2.5 percent of household income</w:t>
      </w:r>
      <w:r w:rsidR="00956BC6">
        <w:t>”</w:t>
      </w:r>
      <w:r w:rsidR="00FA1C4F" w:rsidRPr="00FA1C4F">
        <w:t>.</w:t>
      </w:r>
      <w:r w:rsidR="00FA1C4F">
        <w:t xml:space="preserve"> </w:t>
      </w:r>
      <w:bookmarkStart w:id="23" w:name="C413995777777778I0T413995788425926"/>
      <w:r w:rsidR="00956BC6">
        <w:t>(Gostin, 2010, p. 1)</w:t>
      </w:r>
      <w:bookmarkEnd w:id="23"/>
      <w:r w:rsidR="0059030E">
        <w:t xml:space="preserve"> Data from other countries suggests that this system can </w:t>
      </w:r>
      <w:r w:rsidR="00A363E2">
        <w:t>work;</w:t>
      </w:r>
      <w:r w:rsidR="0059030E">
        <w:t xml:space="preserve"> there is no sure way of knowing its success. </w:t>
      </w:r>
    </w:p>
    <w:p w14:paraId="2DCDD41D" w14:textId="77777777" w:rsidR="00956BC6" w:rsidRDefault="004A091D" w:rsidP="00D706EA">
      <w:pPr>
        <w:pStyle w:val="APA"/>
      </w:pPr>
      <w:r>
        <w:t>Regardless of which side of the political map you are on, the common thread of the human spirit remains</w:t>
      </w:r>
      <w:commentRangeStart w:id="24"/>
      <w:r>
        <w:t>,</w:t>
      </w:r>
      <w:commentRangeEnd w:id="24"/>
      <w:r w:rsidR="00586CB4">
        <w:rPr>
          <w:rStyle w:val="CommentReference"/>
        </w:rPr>
        <w:commentReference w:id="24"/>
      </w:r>
      <w:r>
        <w:t xml:space="preserve"> we must take care of our own. There is only one main argument for those who oppose the individual health</w:t>
      </w:r>
      <w:r w:rsidR="00FF237C">
        <w:t xml:space="preserve"> insurance mandate</w:t>
      </w:r>
      <w:commentRangeStart w:id="25"/>
      <w:r w:rsidR="00FF237C">
        <w:t xml:space="preserve">. This common argument </w:t>
      </w:r>
      <w:commentRangeEnd w:id="25"/>
      <w:r w:rsidR="00586CB4">
        <w:rPr>
          <w:rStyle w:val="CommentReference"/>
        </w:rPr>
        <w:commentReference w:id="25"/>
      </w:r>
      <w:r w:rsidR="00FF237C">
        <w:t>is, “</w:t>
      </w:r>
      <w:r>
        <w:t>If you have to have car insurance they why wouldn’t you have to have health insurance</w:t>
      </w:r>
      <w:r w:rsidR="00956BC6">
        <w:t>?</w:t>
      </w:r>
      <w:r>
        <w:t>”</w:t>
      </w:r>
      <w:bookmarkStart w:id="26" w:name="C413889144097222I0T413995579513889"/>
      <w:r w:rsidR="00FF237C">
        <w:t>(Coakley, 2007)</w:t>
      </w:r>
      <w:bookmarkEnd w:id="26"/>
      <w:r w:rsidR="00FF237C">
        <w:t xml:space="preserve"> Currently</w:t>
      </w:r>
      <w:commentRangeStart w:id="27"/>
      <w:r w:rsidR="00FF237C">
        <w:t xml:space="preserve"> </w:t>
      </w:r>
      <w:commentRangeEnd w:id="27"/>
      <w:r w:rsidR="00586CB4">
        <w:rPr>
          <w:rStyle w:val="CommentReference"/>
        </w:rPr>
        <w:commentReference w:id="27"/>
      </w:r>
      <w:r w:rsidR="00FF237C">
        <w:t xml:space="preserve">the largest problem </w:t>
      </w:r>
      <w:commentRangeStart w:id="28"/>
      <w:r w:rsidR="00FF237C">
        <w:t xml:space="preserve">remains, those </w:t>
      </w:r>
      <w:commentRangeEnd w:id="28"/>
      <w:r w:rsidR="00586CB4">
        <w:rPr>
          <w:rStyle w:val="CommentReference"/>
        </w:rPr>
        <w:commentReference w:id="28"/>
      </w:r>
      <w:r w:rsidR="00FF237C">
        <w:t xml:space="preserve">people who need health insurance the most are the ones who are being denied coverage or simply can’t afford health </w:t>
      </w:r>
      <w:r w:rsidR="00956BC6">
        <w:t xml:space="preserve">insurance. </w:t>
      </w:r>
      <w:commentRangeStart w:id="29"/>
      <w:r w:rsidR="00956BC6">
        <w:t>The</w:t>
      </w:r>
      <w:r w:rsidR="008F32BF">
        <w:t xml:space="preserve"> A</w:t>
      </w:r>
      <w:r w:rsidR="002E51BC">
        <w:t xml:space="preserve">ffordable care </w:t>
      </w:r>
      <w:r w:rsidR="002E51BC">
        <w:lastRenderedPageBreak/>
        <w:t>act “</w:t>
      </w:r>
      <w:r w:rsidR="002E51BC" w:rsidRPr="002E51BC">
        <w:t xml:space="preserve">United States federal statute signed into law by President Barack Obama on March 23, 2010. </w:t>
      </w:r>
      <w:commentRangeEnd w:id="29"/>
      <w:r w:rsidR="00586CB4">
        <w:rPr>
          <w:rStyle w:val="CommentReference"/>
        </w:rPr>
        <w:commentReference w:id="29"/>
      </w:r>
      <w:r w:rsidR="002E51BC" w:rsidRPr="002E51BC">
        <w:t>Together with the Health Care and Education Reconciliation Act, it represents the most significant government expansion and regulatory overhaul of the U.S. healthcare system since the passage of Medicare and Medicaid in 1965</w:t>
      </w:r>
      <w:r w:rsidR="002E51BC">
        <w:t>.”</w:t>
      </w:r>
      <w:bookmarkStart w:id="30" w:name="C413889087152778I0T413995319212963"/>
      <w:r w:rsidR="002E51BC">
        <w:t>(McCaughey, 2008, p. 12)</w:t>
      </w:r>
      <w:bookmarkEnd w:id="30"/>
      <w:r w:rsidR="002E51BC">
        <w:t xml:space="preserve"> Included as a portion of </w:t>
      </w:r>
      <w:commentRangeStart w:id="31"/>
      <w:r w:rsidR="002E51BC">
        <w:t xml:space="preserve">this is </w:t>
      </w:r>
      <w:commentRangeEnd w:id="31"/>
      <w:r w:rsidR="00586CB4">
        <w:rPr>
          <w:rStyle w:val="CommentReference"/>
        </w:rPr>
        <w:commentReference w:id="31"/>
      </w:r>
      <w:r w:rsidR="002E51BC">
        <w:t>the Mandatory Health Insurance Man</w:t>
      </w:r>
      <w:r w:rsidR="00956BC6">
        <w:t>date</w:t>
      </w:r>
      <w:r w:rsidR="0059030E">
        <w:t>,</w:t>
      </w:r>
      <w:r w:rsidR="00956BC6">
        <w:t xml:space="preserve"> this is most simply </w:t>
      </w:r>
      <w:r w:rsidR="0059030E">
        <w:t xml:space="preserve">referred to </w:t>
      </w:r>
      <w:r w:rsidR="002E51BC">
        <w:t>as universal health</w:t>
      </w:r>
      <w:r w:rsidR="0059030E">
        <w:t xml:space="preserve"> care or</w:t>
      </w:r>
      <w:r w:rsidR="002E51BC">
        <w:t xml:space="preserve"> “Obamacare</w:t>
      </w:r>
      <w:commentRangeStart w:id="32"/>
      <w:r w:rsidR="002E51BC">
        <w:t>”</w:t>
      </w:r>
      <w:r w:rsidR="0059030E">
        <w:t xml:space="preserve"> </w:t>
      </w:r>
      <w:commentRangeEnd w:id="32"/>
      <w:r w:rsidR="00586CB4">
        <w:rPr>
          <w:rStyle w:val="CommentReference"/>
        </w:rPr>
        <w:commentReference w:id="32"/>
      </w:r>
      <w:commentRangeStart w:id="33"/>
      <w:r w:rsidR="0059030E">
        <w:t>“Comprehensive health care reform envisages a social contract where everyone shares the cost; one that recognizes all of us may become ill one day. The mandate is not an unjustified limit on freedom, but rather is vital to a decent society. If the social contract must be accomplished the “American way”—through the private system—then the simple logic of insurance has to prevail, which is to spread the risk among everyone—rich and poor, healthy and sick, young and old alike. And for that to happen, the judiciary will have to uphold the individual purchase mandate.”</w:t>
      </w:r>
      <w:bookmarkStart w:id="34" w:name="C413995777777778I0T413995841203704"/>
      <w:r w:rsidR="0059030E">
        <w:t>(Gostin, 2010, p. 2)</w:t>
      </w:r>
      <w:bookmarkEnd w:id="34"/>
      <w:r w:rsidR="0059030E">
        <w:t xml:space="preserve"> </w:t>
      </w:r>
      <w:commentRangeEnd w:id="33"/>
      <w:r w:rsidR="00586CB4">
        <w:rPr>
          <w:rStyle w:val="CommentReference"/>
        </w:rPr>
        <w:commentReference w:id="33"/>
      </w:r>
    </w:p>
    <w:p w14:paraId="4C4F352D" w14:textId="77777777" w:rsidR="007C0158" w:rsidRDefault="007C0158" w:rsidP="0059030E">
      <w:pPr>
        <w:pStyle w:val="APA"/>
      </w:pPr>
      <w:r>
        <w:t xml:space="preserve">Countless court hearings as well as commentary related to this mandate have been </w:t>
      </w:r>
      <w:commentRangeStart w:id="35"/>
      <w:r>
        <w:t xml:space="preserve">held, the </w:t>
      </w:r>
      <w:commentRangeEnd w:id="35"/>
      <w:r w:rsidR="001F01EC">
        <w:rPr>
          <w:rStyle w:val="CommentReference"/>
        </w:rPr>
        <w:commentReference w:id="35"/>
      </w:r>
      <w:r>
        <w:t>most common argument and issue raises the question as to whether or not this mandate is constitutional. Most people believe that due to the fact that we</w:t>
      </w:r>
      <w:commentRangeStart w:id="36"/>
      <w:r>
        <w:t xml:space="preserve"> </w:t>
      </w:r>
      <w:commentRangeEnd w:id="36"/>
      <w:r w:rsidR="001F01EC">
        <w:rPr>
          <w:rStyle w:val="CommentReference"/>
        </w:rPr>
        <w:commentReference w:id="36"/>
      </w:r>
      <w:r>
        <w:t xml:space="preserve">require people who own vehicles and drive on state roads </w:t>
      </w:r>
      <w:commentRangeStart w:id="37"/>
      <w:r>
        <w:t xml:space="preserve">are legally required by state laws </w:t>
      </w:r>
      <w:commentRangeEnd w:id="37"/>
      <w:r w:rsidR="001F01EC">
        <w:rPr>
          <w:rStyle w:val="CommentReference"/>
        </w:rPr>
        <w:commentReference w:id="37"/>
      </w:r>
      <w:r>
        <w:t>to have insurance, it should be the same with health insurance.</w:t>
      </w:r>
      <w:r w:rsidR="00A460AE">
        <w:t xml:space="preserve"> In one hearing held in California </w:t>
      </w:r>
      <w:commentRangeStart w:id="38"/>
      <w:r w:rsidR="00A460AE">
        <w:t>one</w:t>
      </w:r>
      <w:commentRangeEnd w:id="38"/>
      <w:r w:rsidR="001F01EC">
        <w:rPr>
          <w:rStyle w:val="CommentReference"/>
        </w:rPr>
        <w:commentReference w:id="38"/>
      </w:r>
      <w:r w:rsidR="00A460AE">
        <w:t xml:space="preserve"> Nancy Pelosi stated the following</w:t>
      </w:r>
      <w:commentRangeStart w:id="39"/>
      <w:r>
        <w:t xml:space="preserve"> </w:t>
      </w:r>
      <w:commentRangeEnd w:id="39"/>
      <w:r w:rsidR="001F01EC">
        <w:rPr>
          <w:rStyle w:val="CommentReference"/>
        </w:rPr>
        <w:commentReference w:id="39"/>
      </w:r>
      <w:r w:rsidR="00A460AE" w:rsidRPr="00A460AE">
        <w:t xml:space="preserve">"This ruling would put the ban on discrimination against people with pre-existing conditions at risk," </w:t>
      </w:r>
      <w:commentRangeStart w:id="40"/>
      <w:r w:rsidR="00A460AE" w:rsidRPr="00A460AE">
        <w:t xml:space="preserve">House Minority Leader Nancy Pelosi (D-Calif.) said in a statement. </w:t>
      </w:r>
      <w:commentRangeEnd w:id="40"/>
      <w:r w:rsidR="001F01EC">
        <w:rPr>
          <w:rStyle w:val="CommentReference"/>
        </w:rPr>
        <w:commentReference w:id="40"/>
      </w:r>
      <w:r w:rsidR="00A460AE" w:rsidRPr="00A460AE">
        <w:t>"There have been and will continue to be a wide range of attempts to roll back the law, but as in previous cou</w:t>
      </w:r>
      <w:r w:rsidR="002872FB">
        <w:t>rt rulings across the country, I</w:t>
      </w:r>
      <w:r w:rsidR="00A460AE" w:rsidRPr="00A460AE">
        <w:t xml:space="preserve"> am confident that the Affordable Care Act will ultimately be sustained.</w:t>
      </w:r>
      <w:r w:rsidR="00A460AE">
        <w:t xml:space="preserve">” </w:t>
      </w:r>
      <w:bookmarkStart w:id="41" w:name="C413995777777778I0T413996168750000"/>
      <w:r w:rsidR="00A460AE">
        <w:t>(Daly, 2011)</w:t>
      </w:r>
      <w:bookmarkEnd w:id="41"/>
    </w:p>
    <w:p w14:paraId="15B7D49E" w14:textId="77777777" w:rsidR="002872FB" w:rsidRDefault="002872FB" w:rsidP="002872FB">
      <w:pPr>
        <w:pStyle w:val="APA"/>
      </w:pPr>
      <w:r>
        <w:lastRenderedPageBreak/>
        <w:t xml:space="preserve">There is also the argument that many people will opt out of having insurance all together and just pay the tax penalty. This has the potential to cause problems but as of now there is no way of knowing how this will truly play out due to the subjectivity of this mandate. “Moreover, estimates indicate that the individual mandate will work as intended to counter adverse selection. The </w:t>
      </w:r>
      <w:commentRangeStart w:id="42"/>
      <w:r>
        <w:t>CBO</w:t>
      </w:r>
      <w:commentRangeEnd w:id="42"/>
      <w:r w:rsidR="001F01EC">
        <w:rPr>
          <w:rStyle w:val="CommentReference"/>
        </w:rPr>
        <w:commentReference w:id="42"/>
      </w:r>
      <w:r>
        <w:t xml:space="preserve"> concluded that the mandates will </w:t>
      </w:r>
      <w:r w:rsidR="00A363E2">
        <w:t>cover a</w:t>
      </w:r>
      <w:r>
        <w:t xml:space="preserve"> broad range of people to take up coverage in the exchanges. As a result the CBO estimates that the influx of healthier enrollees will reduce average premiums by up to 10 percent in the direct purchase market. </w:t>
      </w:r>
      <w:r w:rsidR="001B2195">
        <w:t>Conversely, eliminating the mandate would result in adverse selection, increasing premiums by up to 20 percent in the direct purchase market.”</w:t>
      </w:r>
      <w:bookmarkStart w:id="43" w:name="C413889144097222I0T413996452083333"/>
      <w:r w:rsidR="001B2195">
        <w:t>(Coakley, 2007, p. 10)</w:t>
      </w:r>
      <w:bookmarkEnd w:id="43"/>
      <w:r w:rsidR="001B2195">
        <w:t xml:space="preserve"> </w:t>
      </w:r>
    </w:p>
    <w:p w14:paraId="48647FFF" w14:textId="77777777" w:rsidR="00E266BA" w:rsidRDefault="001B2195" w:rsidP="00E266BA">
      <w:pPr>
        <w:pStyle w:val="APA"/>
      </w:pPr>
      <w:r>
        <w:t xml:space="preserve">By January of 2014 the Individual Health Mandate should be completely phased in and implemented. </w:t>
      </w:r>
      <w:r w:rsidR="00E266BA">
        <w:t xml:space="preserve">“Many individuals cannot afford insurance, but others choose not to insure; </w:t>
      </w:r>
    </w:p>
    <w:p w14:paraId="528F483B" w14:textId="77777777" w:rsidR="001154BD" w:rsidRDefault="00E266BA" w:rsidP="00E266BA">
      <w:pPr>
        <w:pStyle w:val="APA"/>
        <w:ind w:firstLine="0"/>
      </w:pPr>
      <w:r>
        <w:t>over nine million people with annual incomes over seventy-five thousand dollars had no coverage in 2007.</w:t>
      </w:r>
      <w:commentRangeStart w:id="44"/>
      <w:r>
        <w:t xml:space="preserve">4 </w:t>
      </w:r>
      <w:commentRangeEnd w:id="44"/>
      <w:r w:rsidR="001F01EC">
        <w:rPr>
          <w:rStyle w:val="CommentReference"/>
        </w:rPr>
        <w:commentReference w:id="44"/>
      </w:r>
      <w:r>
        <w:t>Yet many previously healthy people suffer illness or injury and end up requiring treatment in emergency departments, most of which is uncompensated. “Free riders” rely on society to pick up the costs (forty-three billion dollars in 2008) through higher insurance premiums.”</w:t>
      </w:r>
      <w:bookmarkStart w:id="45" w:name="C413995777777778I0T413996645023148"/>
      <w:r>
        <w:t>(Gostin, 2010, p. 2)</w:t>
      </w:r>
      <w:bookmarkEnd w:id="45"/>
      <w:r w:rsidR="001154BD">
        <w:t xml:space="preserve"> </w:t>
      </w:r>
    </w:p>
    <w:p w14:paraId="5DD2DD2B" w14:textId="77777777" w:rsidR="001154BD" w:rsidRPr="00A363E2" w:rsidRDefault="001154BD" w:rsidP="00D706EA">
      <w:pPr>
        <w:pStyle w:val="APA"/>
      </w:pPr>
      <w:r>
        <w:t xml:space="preserve">One may reason that the benefits of a penalty to those who forego healthcare all together benefit the greater good due to the fact that the money can be rolled into the healthcare of those that can’t afford </w:t>
      </w:r>
      <w:commentRangeStart w:id="46"/>
      <w:r>
        <w:t xml:space="preserve">not to have </w:t>
      </w:r>
      <w:commentRangeEnd w:id="46"/>
      <w:r w:rsidR="001F01EC">
        <w:rPr>
          <w:rStyle w:val="CommentReference"/>
        </w:rPr>
        <w:commentReference w:id="46"/>
      </w:r>
      <w:r>
        <w:t xml:space="preserve">it. No person should ever have to deal with losing both their health and their livelihood. The positive of this mandate optimistically </w:t>
      </w:r>
      <w:commentRangeStart w:id="47"/>
      <w:r>
        <w:t xml:space="preserve">poses to give </w:t>
      </w:r>
      <w:commentRangeEnd w:id="47"/>
      <w:r w:rsidR="001F01EC">
        <w:rPr>
          <w:rStyle w:val="CommentReference"/>
        </w:rPr>
        <w:commentReference w:id="47"/>
      </w:r>
      <w:r>
        <w:t xml:space="preserve">those persons who have sickness, accidents, chronic illness etc. a chance to have a life beyond paying medical bills. Although, it may be intended for good, the working person will argue that they shouldn’t have to work so that other “lazy” people can benefit. This is a common dichotomy and soon it could </w:t>
      </w:r>
      <w:r>
        <w:lastRenderedPageBreak/>
        <w:t>become a greater divide between the poor unemployed and the working middle class. “Importantly the individual mandate yields the most bang for the buck increasing coverage by as much as possible for the least possible cost. By bringing healthy individuals into the insurance risk pool, the mandate will lower the average cost per person, reducing the cost of premium tax credits. With the mandate many of the newly insured will gain private coverage, which also lowers the cost to the public.”</w:t>
      </w:r>
      <w:bookmarkStart w:id="48" w:name="C413889064583333I0T413996989814815"/>
      <w:r w:rsidR="00A363E2">
        <w:t>(Tanden &amp; Spiro, 2012)</w:t>
      </w:r>
      <w:bookmarkEnd w:id="48"/>
    </w:p>
    <w:p w14:paraId="7D7B9D60" w14:textId="77777777" w:rsidR="00A363E2" w:rsidRPr="00A363E2" w:rsidRDefault="00D706EA" w:rsidP="00A363E2">
      <w:pPr>
        <w:pStyle w:val="APA"/>
      </w:pPr>
      <w:r>
        <w:t xml:space="preserve">Other components of the Affordable Care Act are also important in achieving near universal health insurance coverage and mitigating adverse selection. </w:t>
      </w:r>
      <w:commentRangeStart w:id="49"/>
      <w:r>
        <w:t>The new law: Expands Medicaid coverage to all individuals with income below 138 percent of the federal poverty level, which will increase enrollment by 17 million people. Creates a state based health insurance exchange</w:t>
      </w:r>
      <w:r w:rsidR="00A363E2">
        <w:t xml:space="preserve"> and online market place where individuals and small businesses can easily shop for and enroll in quality plans. Provides premium tax credits to individuals, structured to guarantee that premium’s will never exceed a certain percentage of income.  </w:t>
      </w:r>
      <w:commentRangeEnd w:id="49"/>
      <w:r w:rsidR="001F01EC">
        <w:rPr>
          <w:rStyle w:val="CommentReference"/>
        </w:rPr>
        <w:commentReference w:id="49"/>
      </w:r>
      <w:r w:rsidR="00A363E2">
        <w:t xml:space="preserve">This provides tax credits to small businesses for up to 50 percent of their health insurance costs. </w:t>
      </w:r>
      <w:commentRangeStart w:id="50"/>
      <w:r w:rsidR="00A363E2">
        <w:t xml:space="preserve">Collects payments from plans that have healthier enrollees and makes payments to plans that have less healthy enrollees on average known as risk adjustment. Also, provides insurers with insurance against high-cost enrollees known as reinsurance. </w:t>
      </w:r>
      <w:bookmarkStart w:id="51" w:name="C413889064583333I0T413996986689815"/>
      <w:r w:rsidR="00A363E2">
        <w:t>(Tanden &amp; Spiro, 2012)</w:t>
      </w:r>
      <w:bookmarkEnd w:id="51"/>
      <w:commentRangeEnd w:id="50"/>
      <w:r w:rsidR="007617C8">
        <w:rPr>
          <w:rStyle w:val="CommentReference"/>
        </w:rPr>
        <w:commentReference w:id="50"/>
      </w:r>
    </w:p>
    <w:p w14:paraId="0A515527" w14:textId="77777777" w:rsidR="00F50A31" w:rsidRDefault="00F50A31" w:rsidP="00D706EA">
      <w:pPr>
        <w:pStyle w:val="APA"/>
      </w:pPr>
      <w:r>
        <w:t>In conclusion</w:t>
      </w:r>
      <w:commentRangeStart w:id="52"/>
      <w:r>
        <w:t xml:space="preserve"> </w:t>
      </w:r>
      <w:commentRangeEnd w:id="52"/>
      <w:r w:rsidR="007617C8">
        <w:rPr>
          <w:rStyle w:val="CommentReference"/>
        </w:rPr>
        <w:commentReference w:id="52"/>
      </w:r>
      <w:r>
        <w:t>the Individual Health Insur</w:t>
      </w:r>
      <w:r w:rsidR="00A363E2">
        <w:t>ance Mandate like any other law or</w:t>
      </w:r>
      <w:r>
        <w:t xml:space="preserve"> policy will take time to implement, and to work out the flaws. </w:t>
      </w:r>
      <w:commentRangeStart w:id="53"/>
      <w:r>
        <w:t xml:space="preserve">No system is perfect we as a general public can at the very least agree to this. </w:t>
      </w:r>
      <w:commentRangeEnd w:id="53"/>
      <w:r w:rsidR="007617C8">
        <w:rPr>
          <w:rStyle w:val="CommentReference"/>
        </w:rPr>
        <w:commentReference w:id="53"/>
      </w:r>
      <w:r>
        <w:t xml:space="preserve">What we have to do </w:t>
      </w:r>
      <w:commentRangeStart w:id="54"/>
      <w:r>
        <w:t>however</w:t>
      </w:r>
      <w:commentRangeEnd w:id="54"/>
      <w:r w:rsidR="007617C8">
        <w:rPr>
          <w:rStyle w:val="CommentReference"/>
        </w:rPr>
        <w:commentReference w:id="54"/>
      </w:r>
      <w:r>
        <w:t xml:space="preserve"> is at the very least attempt to use whatever this law has to offer to </w:t>
      </w:r>
      <w:commentRangeStart w:id="55"/>
      <w:r>
        <w:t>it’s</w:t>
      </w:r>
      <w:commentRangeEnd w:id="55"/>
      <w:r w:rsidR="007617C8">
        <w:rPr>
          <w:rStyle w:val="CommentReference"/>
        </w:rPr>
        <w:commentReference w:id="55"/>
      </w:r>
      <w:r>
        <w:t xml:space="preserve"> fullest potential leaving out agendas and political views. What it inevitably comes to is that </w:t>
      </w:r>
      <w:commentRangeStart w:id="56"/>
      <w:r>
        <w:t xml:space="preserve">this is our health the </w:t>
      </w:r>
      <w:commentRangeEnd w:id="56"/>
      <w:r w:rsidR="007617C8">
        <w:rPr>
          <w:rStyle w:val="CommentReference"/>
        </w:rPr>
        <w:commentReference w:id="56"/>
      </w:r>
      <w:r>
        <w:t xml:space="preserve">most important thing we have and we must work to make sure everyone gets the opportunity to be healthy and taken care of . </w:t>
      </w:r>
      <w:r>
        <w:lastRenderedPageBreak/>
        <w:t xml:space="preserve">Helplessness is a horrible thing and to leave those most vulnerable helpless would be a travesty. </w:t>
      </w:r>
      <w:commentRangeStart w:id="57"/>
      <w:r w:rsidR="00986AFB">
        <w:t xml:space="preserve">Other countries have tried systems similar and been successful. There is no reason we can’t strive to be better and more successful than these countries. </w:t>
      </w:r>
      <w:commentRangeEnd w:id="57"/>
      <w:r w:rsidR="007617C8">
        <w:rPr>
          <w:rStyle w:val="CommentReference"/>
        </w:rPr>
        <w:commentReference w:id="57"/>
      </w:r>
    </w:p>
    <w:p w14:paraId="6D3C7495" w14:textId="77777777" w:rsidR="00A363E2" w:rsidRDefault="001154BD" w:rsidP="00A363E2">
      <w:pPr>
        <w:pStyle w:val="APA"/>
      </w:pPr>
      <w:r>
        <w:tab/>
      </w:r>
    </w:p>
    <w:p w14:paraId="435179E8" w14:textId="77777777" w:rsidR="00875281" w:rsidRDefault="00A363E2" w:rsidP="00A363E2">
      <w:pPr>
        <w:pStyle w:val="APAHeadingCenter"/>
      </w:pPr>
      <w:r>
        <w:br w:type="page"/>
      </w:r>
      <w:r>
        <w:lastRenderedPageBreak/>
        <w:t>References</w:t>
      </w:r>
    </w:p>
    <w:p w14:paraId="27BE83D6" w14:textId="77777777" w:rsidR="00A363E2" w:rsidRDefault="00A363E2" w:rsidP="00A363E2">
      <w:pPr>
        <w:pStyle w:val="APAReference"/>
      </w:pPr>
      <w:bookmarkStart w:id="58" w:name="R413889144097222I0"/>
      <w:r>
        <w:t xml:space="preserve">Coakley, M. (2007). Mandatory Health Insurance. </w:t>
      </w:r>
      <w:bookmarkEnd w:id="58"/>
    </w:p>
    <w:p w14:paraId="52D47851" w14:textId="77777777" w:rsidR="00A363E2" w:rsidRDefault="00A363E2" w:rsidP="00A363E2">
      <w:pPr>
        <w:pStyle w:val="APAReference"/>
      </w:pPr>
      <w:bookmarkStart w:id="59" w:name="R413995777777778I0"/>
      <w:r>
        <w:t xml:space="preserve">Gostin, L. (2010, Sept-Oct 2010). The National Individual Health Insurance Mandate. </w:t>
      </w:r>
      <w:r>
        <w:rPr>
          <w:i/>
        </w:rPr>
        <w:t>Hastings Center Report</w:t>
      </w:r>
      <w:r>
        <w:t>.</w:t>
      </w:r>
      <w:bookmarkEnd w:id="59"/>
    </w:p>
    <w:p w14:paraId="3C189185" w14:textId="77777777" w:rsidR="00A363E2" w:rsidRDefault="00A363E2" w:rsidP="00A363E2">
      <w:pPr>
        <w:pStyle w:val="APAReference"/>
      </w:pPr>
      <w:bookmarkStart w:id="60" w:name="R413889087152778I0"/>
      <w:r>
        <w:t xml:space="preserve">McCaughey, B. (2008). The Truth About Mandatory Health Insurance. </w:t>
      </w:r>
      <w:r>
        <w:rPr>
          <w:i/>
        </w:rPr>
        <w:t>Wall Street Journal</w:t>
      </w:r>
      <w:r>
        <w:t>.</w:t>
      </w:r>
      <w:bookmarkEnd w:id="60"/>
    </w:p>
    <w:p w14:paraId="159369D8" w14:textId="77777777" w:rsidR="00A363E2" w:rsidRDefault="00A363E2" w:rsidP="00A363E2">
      <w:pPr>
        <w:pStyle w:val="APAReference"/>
      </w:pPr>
      <w:bookmarkStart w:id="61" w:name="R413545462152778I0"/>
      <w:r>
        <w:t xml:space="preserve">Milstead, J. A. (2013). </w:t>
      </w:r>
      <w:r>
        <w:rPr>
          <w:i/>
        </w:rPr>
        <w:t>Health Care Policy and Politics</w:t>
      </w:r>
      <w:r>
        <w:t xml:space="preserve"> (4th ed.). Burlington, MA: Jones &amp; Barlett Learning.</w:t>
      </w:r>
      <w:bookmarkEnd w:id="61"/>
    </w:p>
    <w:p w14:paraId="535044BB" w14:textId="77777777" w:rsidR="00A363E2" w:rsidRDefault="00A363E2" w:rsidP="00A363E2">
      <w:pPr>
        <w:pStyle w:val="APAReference"/>
      </w:pPr>
      <w:bookmarkStart w:id="62" w:name="R413995523148148I0"/>
      <w:r>
        <w:t>Moeller, P. (2012). Health Insurance Mandate Penalty.</w:t>
      </w:r>
      <w:bookmarkEnd w:id="62"/>
    </w:p>
    <w:p w14:paraId="49699BCA" w14:textId="77777777" w:rsidR="00A363E2" w:rsidRPr="00A363E2" w:rsidRDefault="00A363E2" w:rsidP="00A363E2">
      <w:pPr>
        <w:pStyle w:val="APAReference"/>
      </w:pPr>
      <w:bookmarkStart w:id="63" w:name="R413889064583333I0"/>
      <w:r>
        <w:t xml:space="preserve">Tanden, N., &amp; Spiro, T. (2012). The Case for the Individual Mandate in Health Care Reform. </w:t>
      </w:r>
      <w:r>
        <w:rPr>
          <w:i/>
        </w:rPr>
        <w:t>American Progress</w:t>
      </w:r>
      <w:r>
        <w:t>, 1-8.</w:t>
      </w:r>
      <w:bookmarkEnd w:id="63"/>
    </w:p>
    <w:sectPr w:rsidR="00A363E2" w:rsidRPr="00A363E2" w:rsidSect="00875281">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hael Phares" w:date="2017-04-07T04:03:00Z" w:initials="MP">
    <w:p w14:paraId="10ABD5FC" w14:textId="7519F52D" w:rsidR="00D93407" w:rsidRDefault="00D93407">
      <w:pPr>
        <w:pStyle w:val="CommentText"/>
      </w:pPr>
      <w:r>
        <w:rPr>
          <w:rStyle w:val="CommentReference"/>
        </w:rPr>
        <w:annotationRef/>
      </w:r>
      <w:r>
        <w:t>MOVE</w:t>
      </w:r>
      <w:r w:rsidRPr="00D93407">
        <w:t xml:space="preserve"> YOUR CURSOR OVER THE COMMENTS TO SEE WHERE THEY RELATE IN THE PAPER.</w:t>
      </w:r>
    </w:p>
  </w:comment>
  <w:comment w:id="2" w:author="Michael Phares" w:date="2017-04-05T23:15:00Z" w:initials="MP">
    <w:p w14:paraId="7D40CCF1" w14:textId="249D5DAF" w:rsidR="001D7587" w:rsidRDefault="001D7587">
      <w:pPr>
        <w:pStyle w:val="CommentText"/>
      </w:pPr>
      <w:r>
        <w:rPr>
          <w:rStyle w:val="CommentReference"/>
        </w:rPr>
        <w:annotationRef/>
      </w:r>
      <w:r>
        <w:t>APA requires only the title of the paper, your name, and the institution. No date, no mention of what class.</w:t>
      </w:r>
    </w:p>
  </w:comment>
  <w:comment w:id="11" w:author="mphares" w:date="2013-05-09T07:40:00Z" w:initials="mcp">
    <w:p w14:paraId="4A47CDB6" w14:textId="77777777" w:rsidR="00AE1942" w:rsidRDefault="00AE1942">
      <w:pPr>
        <w:pStyle w:val="CommentText"/>
      </w:pPr>
      <w:r>
        <w:rPr>
          <w:rStyle w:val="CommentReference"/>
        </w:rPr>
        <w:annotationRef/>
      </w:r>
      <w:r>
        <w:t>who.  When referring to live, animate beings, use who. When referring to inanimate objects, use that.</w:t>
      </w:r>
    </w:p>
  </w:comment>
  <w:comment w:id="13" w:author="mphares" w:date="2013-05-09T07:48:00Z" w:initials="mcp">
    <w:p w14:paraId="3FABAE3C" w14:textId="77777777" w:rsidR="00AE1942" w:rsidRDefault="00AE1942">
      <w:pPr>
        <w:pStyle w:val="CommentText"/>
      </w:pPr>
      <w:r>
        <w:rPr>
          <w:rStyle w:val="CommentReference"/>
        </w:rPr>
        <w:annotationRef/>
      </w:r>
      <w:r>
        <w:t>comma</w:t>
      </w:r>
    </w:p>
  </w:comment>
  <w:comment w:id="14" w:author="mphares" w:date="2013-05-09T07:46:00Z" w:initials="mcp">
    <w:p w14:paraId="38481BF3" w14:textId="77777777" w:rsidR="00AE1942" w:rsidRDefault="00AE1942">
      <w:pPr>
        <w:pStyle w:val="CommentText"/>
      </w:pPr>
      <w:r>
        <w:rPr>
          <w:rStyle w:val="CommentReference"/>
        </w:rPr>
        <w:annotationRef/>
      </w:r>
      <w:r>
        <w:t>When used in a narrative, as opposed to a chart or table, % should be spelled out: “75 percent”</w:t>
      </w:r>
    </w:p>
  </w:comment>
  <w:comment w:id="15" w:author="mphares" w:date="2013-05-09T07:48:00Z" w:initials="mcp">
    <w:p w14:paraId="4164FF30" w14:textId="61CD6C3A" w:rsidR="00AE1942" w:rsidRDefault="00AE1942">
      <w:pPr>
        <w:pStyle w:val="CommentText"/>
      </w:pPr>
      <w:r>
        <w:rPr>
          <w:rStyle w:val="CommentReference"/>
        </w:rPr>
        <w:annotationRef/>
      </w:r>
      <w:r>
        <w:t>In all similar cases, the period should appear after the parenthetical reference:</w:t>
      </w:r>
      <w:r w:rsidR="0008568A">
        <w:t xml:space="preserve"> “…</w:t>
      </w:r>
      <w:r>
        <w:t>insurance coverage (McCaughey, 2008).</w:t>
      </w:r>
      <w:r w:rsidR="0008568A">
        <w:t>”</w:t>
      </w:r>
      <w:r>
        <w:t xml:space="preserve">  Please check APA for correct formatting.</w:t>
      </w:r>
    </w:p>
  </w:comment>
  <w:comment w:id="17" w:author="mphares" w:date="2013-05-09T07:48:00Z" w:initials="mcp">
    <w:p w14:paraId="5A9E99F8" w14:textId="77777777" w:rsidR="00AE1942" w:rsidRDefault="00AE1942">
      <w:pPr>
        <w:pStyle w:val="CommentText"/>
      </w:pPr>
      <w:r>
        <w:rPr>
          <w:rStyle w:val="CommentReference"/>
        </w:rPr>
        <w:annotationRef/>
      </w:r>
      <w:r>
        <w:t>comma</w:t>
      </w:r>
    </w:p>
  </w:comment>
  <w:comment w:id="18" w:author="mphares" w:date="2013-05-09T07:48:00Z" w:initials="mcp">
    <w:p w14:paraId="1185AE84" w14:textId="77777777" w:rsidR="00AE1942" w:rsidRDefault="00AE1942">
      <w:pPr>
        <w:pStyle w:val="CommentText"/>
      </w:pPr>
      <w:r>
        <w:rPr>
          <w:rStyle w:val="CommentReference"/>
        </w:rPr>
        <w:annotationRef/>
      </w:r>
      <w:r>
        <w:t>hyphen</w:t>
      </w:r>
    </w:p>
  </w:comment>
  <w:comment w:id="20" w:author="mphares" w:date="2013-05-09T07:49:00Z" w:initials="mcp">
    <w:p w14:paraId="5084B540" w14:textId="77777777" w:rsidR="00AE1942" w:rsidRDefault="00AE1942">
      <w:pPr>
        <w:pStyle w:val="CommentText"/>
      </w:pPr>
      <w:r>
        <w:rPr>
          <w:rStyle w:val="CommentReference"/>
        </w:rPr>
        <w:annotationRef/>
      </w:r>
      <w:r>
        <w:t>comma</w:t>
      </w:r>
    </w:p>
  </w:comment>
  <w:comment w:id="21" w:author="mphares" w:date="2013-05-09T07:49:00Z" w:initials="mcp">
    <w:p w14:paraId="0E2A340A" w14:textId="77777777" w:rsidR="00AE1942" w:rsidRDefault="00AE1942">
      <w:pPr>
        <w:pStyle w:val="CommentText"/>
      </w:pPr>
      <w:r>
        <w:rPr>
          <w:rStyle w:val="CommentReference"/>
        </w:rPr>
        <w:annotationRef/>
      </w:r>
      <w:r>
        <w:t>delete</w:t>
      </w:r>
    </w:p>
  </w:comment>
  <w:comment w:id="22" w:author="mphares" w:date="2013-05-09T07:50:00Z" w:initials="mcp">
    <w:p w14:paraId="041B2AAB" w14:textId="77777777" w:rsidR="00AE1942" w:rsidRDefault="00AE1942">
      <w:pPr>
        <w:pStyle w:val="CommentText"/>
      </w:pPr>
      <w:r>
        <w:rPr>
          <w:rStyle w:val="CommentReference"/>
        </w:rPr>
        <w:annotationRef/>
      </w:r>
      <w:r>
        <w:t>Why the quotation mark?</w:t>
      </w:r>
    </w:p>
  </w:comment>
  <w:comment w:id="24" w:author="mphares" w:date="2013-05-09T07:51:00Z" w:initials="mcp">
    <w:p w14:paraId="21409D18" w14:textId="77777777" w:rsidR="00586CB4" w:rsidRDefault="00586CB4">
      <w:pPr>
        <w:pStyle w:val="CommentText"/>
      </w:pPr>
      <w:r>
        <w:rPr>
          <w:rStyle w:val="CommentReference"/>
        </w:rPr>
        <w:annotationRef/>
      </w:r>
      <w:r>
        <w:t>Not a comma. Use a colon.</w:t>
      </w:r>
    </w:p>
  </w:comment>
  <w:comment w:id="25" w:author="mphares" w:date="2013-05-09T07:52:00Z" w:initials="mcp">
    <w:p w14:paraId="46D75352" w14:textId="77777777" w:rsidR="00586CB4" w:rsidRDefault="00586CB4">
      <w:pPr>
        <w:pStyle w:val="CommentText"/>
      </w:pPr>
      <w:r>
        <w:rPr>
          <w:rStyle w:val="CommentReference"/>
        </w:rPr>
        <w:annotationRef/>
      </w:r>
      <w:r>
        <w:t>which</w:t>
      </w:r>
    </w:p>
  </w:comment>
  <w:comment w:id="27" w:author="mphares" w:date="2013-05-09T07:52:00Z" w:initials="mcp">
    <w:p w14:paraId="4DA45412" w14:textId="77777777" w:rsidR="00586CB4" w:rsidRDefault="00586CB4">
      <w:pPr>
        <w:pStyle w:val="CommentText"/>
      </w:pPr>
      <w:r>
        <w:rPr>
          <w:rStyle w:val="CommentReference"/>
        </w:rPr>
        <w:annotationRef/>
      </w:r>
      <w:r>
        <w:t>comma</w:t>
      </w:r>
    </w:p>
  </w:comment>
  <w:comment w:id="28" w:author="mphares" w:date="2013-05-09T07:52:00Z" w:initials="mcp">
    <w:p w14:paraId="343A03DE" w14:textId="77777777" w:rsidR="00586CB4" w:rsidRDefault="00586CB4">
      <w:pPr>
        <w:pStyle w:val="CommentText"/>
      </w:pPr>
      <w:r>
        <w:rPr>
          <w:rStyle w:val="CommentReference"/>
        </w:rPr>
        <w:annotationRef/>
      </w:r>
      <w:r>
        <w:t>is that the</w:t>
      </w:r>
    </w:p>
  </w:comment>
  <w:comment w:id="29" w:author="mphares" w:date="2013-05-09T07:56:00Z" w:initials="mcp">
    <w:p w14:paraId="30B32082" w14:textId="77777777" w:rsidR="00586CB4" w:rsidRDefault="00586CB4">
      <w:pPr>
        <w:pStyle w:val="CommentText"/>
      </w:pPr>
      <w:r>
        <w:rPr>
          <w:rStyle w:val="CommentReference"/>
        </w:rPr>
        <w:annotationRef/>
      </w:r>
      <w:r>
        <w:t xml:space="preserve"> This sentence is ungrammatical and is redundant  to what you wrote in the first paragraph. I think you are trying to paraphrase a quote, but it should have been handled differently.</w:t>
      </w:r>
    </w:p>
  </w:comment>
  <w:comment w:id="31" w:author="mphares" w:date="2013-05-09T07:57:00Z" w:initials="mcp">
    <w:p w14:paraId="62F2F24B" w14:textId="77777777" w:rsidR="00586CB4" w:rsidRDefault="00586CB4">
      <w:pPr>
        <w:pStyle w:val="CommentText"/>
      </w:pPr>
      <w:r>
        <w:rPr>
          <w:rStyle w:val="CommentReference"/>
        </w:rPr>
        <w:annotationRef/>
      </w:r>
      <w:r>
        <w:t>delete</w:t>
      </w:r>
    </w:p>
  </w:comment>
  <w:comment w:id="32" w:author="mphares" w:date="2013-05-09T07:58:00Z" w:initials="mcp">
    <w:p w14:paraId="1D4603A3" w14:textId="77777777" w:rsidR="00586CB4" w:rsidRDefault="00586CB4">
      <w:pPr>
        <w:pStyle w:val="CommentText"/>
      </w:pPr>
      <w:r>
        <w:rPr>
          <w:rStyle w:val="CommentReference"/>
        </w:rPr>
        <w:annotationRef/>
      </w:r>
      <w:r>
        <w:t>Need a period to end this sentence.</w:t>
      </w:r>
    </w:p>
  </w:comment>
  <w:comment w:id="33" w:author="mphares" w:date="2013-05-09T08:01:00Z" w:initials="mcp">
    <w:p w14:paraId="22063645" w14:textId="77777777" w:rsidR="00586CB4" w:rsidRDefault="00586CB4">
      <w:pPr>
        <w:pStyle w:val="CommentText"/>
      </w:pPr>
      <w:r>
        <w:rPr>
          <w:rStyle w:val="CommentReference"/>
        </w:rPr>
        <w:annotationRef/>
      </w:r>
      <w:r>
        <w:t>A quote of over 40 words  should have been handled as a “long quotation</w:t>
      </w:r>
      <w:r w:rsidR="001F01EC">
        <w:t xml:space="preserve">.” See this link to APA formatting:  </w:t>
      </w:r>
      <w:hyperlink r:id="rId1" w:history="1">
        <w:r w:rsidR="001F01EC">
          <w:rPr>
            <w:rStyle w:val="Hyperlink"/>
          </w:rPr>
          <w:t>http://owl.english.purdue.edu/owl/resource/560/02/</w:t>
        </w:r>
      </w:hyperlink>
    </w:p>
    <w:p w14:paraId="635CB56E" w14:textId="77777777" w:rsidR="001F01EC" w:rsidRDefault="001F01EC">
      <w:pPr>
        <w:pStyle w:val="CommentText"/>
      </w:pPr>
      <w:r>
        <w:t>and scroll down to “Long quotation.”</w:t>
      </w:r>
    </w:p>
  </w:comment>
  <w:comment w:id="35" w:author="mphares" w:date="2013-05-09T08:03:00Z" w:initials="mcp">
    <w:p w14:paraId="76A917EC" w14:textId="77777777" w:rsidR="001F01EC" w:rsidRDefault="001F01EC">
      <w:pPr>
        <w:pStyle w:val="CommentText"/>
      </w:pPr>
      <w:r>
        <w:rPr>
          <w:rStyle w:val="CommentReference"/>
        </w:rPr>
        <w:annotationRef/>
      </w:r>
      <w:r>
        <w:t>You tend to create run-on sentences.  Make 2 sentences here.</w:t>
      </w:r>
    </w:p>
  </w:comment>
  <w:comment w:id="36" w:author="mphares" w:date="2013-05-09T08:03:00Z" w:initials="mcp">
    <w:p w14:paraId="5007A634" w14:textId="77777777" w:rsidR="001F01EC" w:rsidRDefault="001F01EC">
      <w:pPr>
        <w:pStyle w:val="CommentText"/>
      </w:pPr>
      <w:r>
        <w:rPr>
          <w:rStyle w:val="CommentReference"/>
        </w:rPr>
        <w:annotationRef/>
      </w:r>
      <w:r>
        <w:t>legally</w:t>
      </w:r>
    </w:p>
  </w:comment>
  <w:comment w:id="37" w:author="mphares" w:date="2013-05-09T08:03:00Z" w:initials="mcp">
    <w:p w14:paraId="50800144" w14:textId="77777777" w:rsidR="001F01EC" w:rsidRDefault="001F01EC">
      <w:pPr>
        <w:pStyle w:val="CommentText"/>
      </w:pPr>
      <w:r>
        <w:rPr>
          <w:rStyle w:val="CommentReference"/>
        </w:rPr>
        <w:annotationRef/>
      </w:r>
      <w:r>
        <w:t>delete</w:t>
      </w:r>
    </w:p>
  </w:comment>
  <w:comment w:id="38" w:author="mphares" w:date="2013-05-09T08:04:00Z" w:initials="mcp">
    <w:p w14:paraId="59BD6884" w14:textId="77777777" w:rsidR="001F01EC" w:rsidRDefault="001F01EC">
      <w:pPr>
        <w:pStyle w:val="CommentText"/>
      </w:pPr>
      <w:r>
        <w:rPr>
          <w:rStyle w:val="CommentReference"/>
        </w:rPr>
        <w:annotationRef/>
      </w:r>
      <w:r>
        <w:t>delete</w:t>
      </w:r>
    </w:p>
  </w:comment>
  <w:comment w:id="39" w:author="mphares" w:date="2013-05-09T08:04:00Z" w:initials="mcp">
    <w:p w14:paraId="525F6F7C" w14:textId="77777777" w:rsidR="001F01EC" w:rsidRDefault="001F01EC">
      <w:pPr>
        <w:pStyle w:val="CommentText"/>
      </w:pPr>
      <w:r>
        <w:rPr>
          <w:rStyle w:val="CommentReference"/>
        </w:rPr>
        <w:annotationRef/>
      </w:r>
      <w:r>
        <w:t>colon</w:t>
      </w:r>
    </w:p>
  </w:comment>
  <w:comment w:id="40" w:author="mphares" w:date="2013-05-09T08:05:00Z" w:initials="mcp">
    <w:p w14:paraId="3244D897" w14:textId="77777777" w:rsidR="001F01EC" w:rsidRDefault="001F01EC">
      <w:pPr>
        <w:pStyle w:val="CommentText"/>
      </w:pPr>
      <w:r>
        <w:rPr>
          <w:rStyle w:val="CommentReference"/>
        </w:rPr>
        <w:annotationRef/>
      </w:r>
      <w:r>
        <w:t>Pelosi went on to say, “There have…”</w:t>
      </w:r>
    </w:p>
  </w:comment>
  <w:comment w:id="42" w:author="mphares" w:date="2013-05-09T08:06:00Z" w:initials="mcp">
    <w:p w14:paraId="1635EBF4" w14:textId="77777777" w:rsidR="001F01EC" w:rsidRDefault="001F01EC">
      <w:pPr>
        <w:pStyle w:val="CommentText"/>
      </w:pPr>
      <w:r>
        <w:rPr>
          <w:rStyle w:val="CommentReference"/>
        </w:rPr>
        <w:annotationRef/>
      </w:r>
      <w:r>
        <w:t>This should be defined as it has not been previously referenced.</w:t>
      </w:r>
    </w:p>
  </w:comment>
  <w:comment w:id="44" w:author="mphares" w:date="2013-05-09T08:07:00Z" w:initials="mcp">
    <w:p w14:paraId="2DA9B3FA" w14:textId="77777777" w:rsidR="001F01EC" w:rsidRDefault="001F01EC">
      <w:pPr>
        <w:pStyle w:val="CommentText"/>
      </w:pPr>
      <w:r>
        <w:rPr>
          <w:rStyle w:val="CommentReference"/>
        </w:rPr>
        <w:annotationRef/>
      </w:r>
      <w:r>
        <w:t>Why is the number 4 there?</w:t>
      </w:r>
    </w:p>
  </w:comment>
  <w:comment w:id="46" w:author="mphares" w:date="2013-05-09T08:08:00Z" w:initials="mcp">
    <w:p w14:paraId="626A4A78" w14:textId="77777777" w:rsidR="001F01EC" w:rsidRDefault="001F01EC">
      <w:pPr>
        <w:pStyle w:val="CommentText"/>
      </w:pPr>
      <w:r>
        <w:rPr>
          <w:rStyle w:val="CommentReference"/>
        </w:rPr>
        <w:annotationRef/>
      </w:r>
      <w:r>
        <w:t>delete</w:t>
      </w:r>
    </w:p>
  </w:comment>
  <w:comment w:id="47" w:author="mphares" w:date="2013-05-09T08:09:00Z" w:initials="mcp">
    <w:p w14:paraId="22B7D6D4" w14:textId="77777777" w:rsidR="001F01EC" w:rsidRDefault="001F01EC">
      <w:pPr>
        <w:pStyle w:val="CommentText"/>
      </w:pPr>
      <w:r>
        <w:rPr>
          <w:rStyle w:val="CommentReference"/>
        </w:rPr>
        <w:annotationRef/>
      </w:r>
      <w:r>
        <w:t>offers</w:t>
      </w:r>
    </w:p>
  </w:comment>
  <w:comment w:id="49" w:author="mphares" w:date="2013-05-09T08:13:00Z" w:initials="mcp">
    <w:p w14:paraId="01B958D0" w14:textId="77777777" w:rsidR="001F01EC" w:rsidRDefault="001F01EC">
      <w:pPr>
        <w:pStyle w:val="CommentText"/>
      </w:pPr>
      <w:r>
        <w:rPr>
          <w:rStyle w:val="CommentReference"/>
        </w:rPr>
        <w:annotationRef/>
      </w:r>
      <w:r w:rsidR="007617C8">
        <w:t xml:space="preserve">If </w:t>
      </w:r>
      <w:r>
        <w:t>you are going to present all this as a complex series, the correct format starts with a colon as you did, but each item in the series is separated by a semi-colon</w:t>
      </w:r>
      <w:r w:rsidR="007617C8">
        <w:t xml:space="preserve"> and is not a separate sentence.</w:t>
      </w:r>
    </w:p>
  </w:comment>
  <w:comment w:id="50" w:author="mphares" w:date="2013-05-09T08:14:00Z" w:initials="mcp">
    <w:p w14:paraId="3E90D637" w14:textId="77777777" w:rsidR="007617C8" w:rsidRDefault="007617C8">
      <w:pPr>
        <w:pStyle w:val="CommentText"/>
      </w:pPr>
      <w:r>
        <w:rPr>
          <w:rStyle w:val="CommentReference"/>
        </w:rPr>
        <w:annotationRef/>
      </w:r>
      <w:r>
        <w:t>At this point, your series has been concluded. So these two sentences need subjects. For example:</w:t>
      </w:r>
    </w:p>
    <w:p w14:paraId="5576CDBB" w14:textId="77777777" w:rsidR="007617C8" w:rsidRDefault="007617C8">
      <w:pPr>
        <w:pStyle w:val="CommentText"/>
      </w:pPr>
      <w:r>
        <w:t>The plan collects payments….  Also, it provides insurers….</w:t>
      </w:r>
    </w:p>
  </w:comment>
  <w:comment w:id="52" w:author="mphares" w:date="2013-05-09T08:15:00Z" w:initials="mcp">
    <w:p w14:paraId="49BF4FEE" w14:textId="77777777" w:rsidR="007617C8" w:rsidRDefault="007617C8">
      <w:pPr>
        <w:pStyle w:val="CommentText"/>
      </w:pPr>
      <w:r>
        <w:rPr>
          <w:rStyle w:val="CommentReference"/>
        </w:rPr>
        <w:annotationRef/>
      </w:r>
      <w:r>
        <w:t>comma</w:t>
      </w:r>
    </w:p>
  </w:comment>
  <w:comment w:id="53" w:author="mphares" w:date="2013-05-09T08:15:00Z" w:initials="mcp">
    <w:p w14:paraId="4B6A44DD" w14:textId="77777777" w:rsidR="007617C8" w:rsidRDefault="007617C8">
      <w:pPr>
        <w:pStyle w:val="CommentText"/>
      </w:pPr>
      <w:r>
        <w:rPr>
          <w:rStyle w:val="CommentReference"/>
        </w:rPr>
        <w:annotationRef/>
      </w:r>
      <w:r>
        <w:t>run-on sentence</w:t>
      </w:r>
    </w:p>
  </w:comment>
  <w:comment w:id="54" w:author="mphares" w:date="2013-05-09T08:16:00Z" w:initials="mcp">
    <w:p w14:paraId="46E09F3D" w14:textId="77777777" w:rsidR="007617C8" w:rsidRDefault="007617C8">
      <w:pPr>
        <w:pStyle w:val="CommentText"/>
      </w:pPr>
      <w:r>
        <w:rPr>
          <w:rStyle w:val="CommentReference"/>
        </w:rPr>
        <w:annotationRef/>
      </w:r>
      <w:r>
        <w:t>If you use however in the middle of a sentence, it has to be set off by commas. It would be better at the beginning of the sentence with a comma following:  However, what we have to do…</w:t>
      </w:r>
    </w:p>
  </w:comment>
  <w:comment w:id="55" w:author="mphares" w:date="2013-05-09T08:17:00Z" w:initials="mcp">
    <w:p w14:paraId="3249AF8B" w14:textId="77777777" w:rsidR="007617C8" w:rsidRDefault="007617C8">
      <w:pPr>
        <w:pStyle w:val="CommentText"/>
      </w:pPr>
      <w:r>
        <w:rPr>
          <w:rStyle w:val="CommentReference"/>
        </w:rPr>
        <w:annotationRef/>
      </w:r>
      <w:r>
        <w:t>its, not it’s.  This is a possessive, not a contraction.</w:t>
      </w:r>
    </w:p>
  </w:comment>
  <w:comment w:id="56" w:author="mphares" w:date="2013-05-09T08:17:00Z" w:initials="mcp">
    <w:p w14:paraId="4FE02CCE" w14:textId="77777777" w:rsidR="007617C8" w:rsidRDefault="007617C8">
      <w:pPr>
        <w:pStyle w:val="CommentText"/>
      </w:pPr>
      <w:r>
        <w:rPr>
          <w:rStyle w:val="CommentReference"/>
        </w:rPr>
        <w:annotationRef/>
      </w:r>
      <w:r>
        <w:t>…our health is the…</w:t>
      </w:r>
    </w:p>
  </w:comment>
  <w:comment w:id="57" w:author="mphares" w:date="2013-05-09T08:21:00Z" w:initials="mcp">
    <w:p w14:paraId="6623B559" w14:textId="77777777" w:rsidR="007617C8" w:rsidRDefault="007617C8">
      <w:pPr>
        <w:pStyle w:val="CommentText"/>
      </w:pPr>
      <w:r>
        <w:rPr>
          <w:rStyle w:val="CommentReference"/>
        </w:rPr>
        <w:annotationRef/>
      </w:r>
      <w:r>
        <w:t>The countries you refer to (Sweden, for example) are basically Socialistic and also have a federal  tax rate in the neighborhood of 70 percent. That tax rate supplies the funds to ensure the success you refer to  That’s not the case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ABD5FC" w15:done="0"/>
  <w15:commentEx w15:paraId="7D40CCF1" w15:done="0"/>
  <w15:commentEx w15:paraId="4A47CDB6" w15:done="0"/>
  <w15:commentEx w15:paraId="3FABAE3C" w15:done="0"/>
  <w15:commentEx w15:paraId="38481BF3" w15:done="0"/>
  <w15:commentEx w15:paraId="4164FF30" w15:done="0"/>
  <w15:commentEx w15:paraId="5A9E99F8" w15:done="0"/>
  <w15:commentEx w15:paraId="1185AE84" w15:done="0"/>
  <w15:commentEx w15:paraId="5084B540" w15:done="0"/>
  <w15:commentEx w15:paraId="0E2A340A" w15:done="0"/>
  <w15:commentEx w15:paraId="041B2AAB" w15:done="0"/>
  <w15:commentEx w15:paraId="21409D18" w15:done="0"/>
  <w15:commentEx w15:paraId="46D75352" w15:done="0"/>
  <w15:commentEx w15:paraId="4DA45412" w15:done="0"/>
  <w15:commentEx w15:paraId="343A03DE" w15:done="0"/>
  <w15:commentEx w15:paraId="30B32082" w15:done="0"/>
  <w15:commentEx w15:paraId="62F2F24B" w15:done="0"/>
  <w15:commentEx w15:paraId="1D4603A3" w15:done="0"/>
  <w15:commentEx w15:paraId="635CB56E" w15:done="0"/>
  <w15:commentEx w15:paraId="76A917EC" w15:done="0"/>
  <w15:commentEx w15:paraId="5007A634" w15:done="0"/>
  <w15:commentEx w15:paraId="50800144" w15:done="0"/>
  <w15:commentEx w15:paraId="59BD6884" w15:done="0"/>
  <w15:commentEx w15:paraId="525F6F7C" w15:done="0"/>
  <w15:commentEx w15:paraId="3244D897" w15:done="0"/>
  <w15:commentEx w15:paraId="1635EBF4" w15:done="0"/>
  <w15:commentEx w15:paraId="2DA9B3FA" w15:done="0"/>
  <w15:commentEx w15:paraId="626A4A78" w15:done="0"/>
  <w15:commentEx w15:paraId="22B7D6D4" w15:done="0"/>
  <w15:commentEx w15:paraId="01B958D0" w15:done="0"/>
  <w15:commentEx w15:paraId="5576CDBB" w15:done="0"/>
  <w15:commentEx w15:paraId="49BF4FEE" w15:done="0"/>
  <w15:commentEx w15:paraId="4B6A44DD" w15:done="0"/>
  <w15:commentEx w15:paraId="46E09F3D" w15:done="0"/>
  <w15:commentEx w15:paraId="3249AF8B" w15:done="0"/>
  <w15:commentEx w15:paraId="4FE02CCE" w15:done="0"/>
  <w15:commentEx w15:paraId="6623B5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F46B0" w14:textId="77777777" w:rsidR="00E530E5" w:rsidRDefault="00E530E5">
      <w:r>
        <w:separator/>
      </w:r>
    </w:p>
  </w:endnote>
  <w:endnote w:type="continuationSeparator" w:id="0">
    <w:p w14:paraId="7510FAFD" w14:textId="77777777" w:rsidR="00E530E5" w:rsidRDefault="00E5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61D05" w14:textId="77777777" w:rsidR="00E530E5" w:rsidRDefault="00E530E5">
      <w:r>
        <w:separator/>
      </w:r>
    </w:p>
  </w:footnote>
  <w:footnote w:type="continuationSeparator" w:id="0">
    <w:p w14:paraId="79D9D5F2" w14:textId="77777777" w:rsidR="00E530E5" w:rsidRDefault="00E53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3E75D" w14:textId="77777777" w:rsidR="00506F13" w:rsidRPr="00875281" w:rsidRDefault="00875281" w:rsidP="00875281">
    <w:pPr>
      <w:pStyle w:val="APAPageHeading"/>
    </w:pPr>
    <w:r>
      <w:t>MANDATORY INSURANCE MANDATE</w:t>
    </w:r>
    <w:r>
      <w:tab/>
    </w:r>
    <w:r w:rsidR="002F5CE4">
      <w:fldChar w:fldCharType="begin"/>
    </w:r>
    <w:r>
      <w:instrText xml:space="preserve"> PAGE  \* MERGEFORMAT </w:instrText>
    </w:r>
    <w:r w:rsidR="002F5CE4">
      <w:fldChar w:fldCharType="separate"/>
    </w:r>
    <w:r w:rsidR="00C14999">
      <w:rPr>
        <w:noProof/>
      </w:rPr>
      <w:t>7</w:t>
    </w:r>
    <w:r w:rsidR="002F5CE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A7D73" w14:textId="77777777" w:rsidR="00506F13" w:rsidRPr="00875281" w:rsidRDefault="00875281" w:rsidP="00875281">
    <w:pPr>
      <w:pStyle w:val="APAPageHeading"/>
    </w:pPr>
    <w:r>
      <w:t>Running head: MANDATORY INSURANCE MANDATE</w:t>
    </w:r>
    <w:r>
      <w:tab/>
    </w:r>
    <w:r w:rsidR="002F5CE4">
      <w:fldChar w:fldCharType="begin"/>
    </w:r>
    <w:r>
      <w:instrText xml:space="preserve"> PAGE  \* MERGEFORMAT </w:instrText>
    </w:r>
    <w:r w:rsidR="002F5CE4">
      <w:fldChar w:fldCharType="separate"/>
    </w:r>
    <w:r w:rsidR="00C14999">
      <w:rPr>
        <w:noProof/>
      </w:rPr>
      <w:t>1</w:t>
    </w:r>
    <w:r w:rsidR="002F5CE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E2B26" w14:textId="77777777" w:rsidR="00875281" w:rsidRPr="00875281" w:rsidRDefault="00875281" w:rsidP="00875281">
    <w:pPr>
      <w:pStyle w:val="APAPageHeading"/>
    </w:pPr>
    <w:r>
      <w:t>MANDATORY INSURANCE MANDATE</w:t>
    </w:r>
    <w:r>
      <w:tab/>
    </w:r>
    <w:r w:rsidR="002F5CE4">
      <w:fldChar w:fldCharType="begin"/>
    </w:r>
    <w:r>
      <w:instrText xml:space="preserve"> PAGE  \* MERGEFORMAT </w:instrText>
    </w:r>
    <w:r w:rsidR="002F5CE4">
      <w:fldChar w:fldCharType="separate"/>
    </w:r>
    <w:r w:rsidR="00C14999">
      <w:rPr>
        <w:noProof/>
      </w:rPr>
      <w:t>2</w:t>
    </w:r>
    <w:r w:rsidR="002F5CE4">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hares">
    <w15:presenceInfo w15:providerId="Windows Live" w15:userId="2aa80eb4596e67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413545462152778I0" w:val="*1,597˜11Jeri~A~Milstead~˜12032013˜15Health Care Policy and Politics˜2201˜1524th˜21951˜21940˜110Burlington, MA˜111Jones &amp; Barlett Learning˜1449˜269˜1196˜1609˜"/>
    <w:docVar w:name="413889064583333I0" w:val="*1,60˜11Neera~~Tanden~Topher~~Spiro~˜12032012˜2330˜1241˜13The Case for the Individual Mandate in Health Care Reform˜16American Progress˜2680˜186˜21˜181˜2711˜11631-8˜21750˜269˜1196˜1141˜"/>
    <w:docVar w:name="413889087152778I0" w:val="*1,60˜11Betsey~~McCaughey~˜12032008˜2330˜1241˜13The Truth About Mandatory Health Insurance˜16Wall Street Journal˜2680˜186˜21˜181˜2710˜1163˜21750˜269˜1196˜1141˜"/>
    <w:docVar w:name="413889144097222I0" w:val="*1,60˜11Martha~~Coakley~˜12032007˜2330˜1241˜13Mandatory Health Insurance˜16˜2680˜186˜21˜181˜2710˜1163˜21750˜269˜1196˜1141˜"/>
    <w:docVar w:name="413995523148148I0" w:val="*1,262˜11Philip~~Moeller~˜12032012˜13Health Insurance Mandate Penalty˜2701˜1112˜112˜"/>
    <w:docVar w:name="413995777777778I0" w:val="*1,60˜11Lawrence~~Gostin~˜12032010˜2331˜1241Sept-Oct 2010˜13The National Individual Health Insurance Mandate˜16Hastings Center Report˜2680˜186˜21˜181˜2710˜1163˜21750˜269˜1196˜1141˜"/>
    <w:docVar w:name="bmHeaderInfo" w:val="MANDATORY INSURANCE MANDATE"/>
    <w:docVar w:name="cIsAbstract" w:val="False"/>
    <w:docVar w:name="cPaperAPAOrMLA" w:val="1"/>
    <w:docVar w:name="cUniquePaperID" w:val="413995213888889I0"/>
    <w:docVar w:name="LastEditedVersion" w:val="7.2.11"/>
  </w:docVars>
  <w:rsids>
    <w:rsidRoot w:val="00875281"/>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262A0"/>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68A"/>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18F4"/>
    <w:rsid w:val="00111D07"/>
    <w:rsid w:val="001154BD"/>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195"/>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587"/>
    <w:rsid w:val="001D7C57"/>
    <w:rsid w:val="001E10AE"/>
    <w:rsid w:val="001E16E1"/>
    <w:rsid w:val="001E1BE4"/>
    <w:rsid w:val="001E1F31"/>
    <w:rsid w:val="001E25C4"/>
    <w:rsid w:val="001E2BB4"/>
    <w:rsid w:val="001E45A4"/>
    <w:rsid w:val="001E5D0C"/>
    <w:rsid w:val="001E6595"/>
    <w:rsid w:val="001E728D"/>
    <w:rsid w:val="001E7297"/>
    <w:rsid w:val="001F01EC"/>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7D"/>
    <w:rsid w:val="00251294"/>
    <w:rsid w:val="00252135"/>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872FB"/>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1BC"/>
    <w:rsid w:val="002E524C"/>
    <w:rsid w:val="002E6ABC"/>
    <w:rsid w:val="002E7BB5"/>
    <w:rsid w:val="002F1C92"/>
    <w:rsid w:val="002F1CB7"/>
    <w:rsid w:val="002F2990"/>
    <w:rsid w:val="002F42C4"/>
    <w:rsid w:val="002F5801"/>
    <w:rsid w:val="002F5CE4"/>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91D"/>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67227"/>
    <w:rsid w:val="005708C8"/>
    <w:rsid w:val="005721DA"/>
    <w:rsid w:val="00574175"/>
    <w:rsid w:val="0057453C"/>
    <w:rsid w:val="0057504E"/>
    <w:rsid w:val="00575987"/>
    <w:rsid w:val="00576F7A"/>
    <w:rsid w:val="005773E2"/>
    <w:rsid w:val="00577428"/>
    <w:rsid w:val="00581455"/>
    <w:rsid w:val="00581E7E"/>
    <w:rsid w:val="0058442B"/>
    <w:rsid w:val="00584C03"/>
    <w:rsid w:val="00586812"/>
    <w:rsid w:val="00586A2E"/>
    <w:rsid w:val="00586CB4"/>
    <w:rsid w:val="005876DC"/>
    <w:rsid w:val="005876FF"/>
    <w:rsid w:val="00587B25"/>
    <w:rsid w:val="0059030E"/>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17C8"/>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158"/>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BB1"/>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281"/>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2BF"/>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6BC6"/>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AFB"/>
    <w:rsid w:val="00986E08"/>
    <w:rsid w:val="00986EAE"/>
    <w:rsid w:val="00987542"/>
    <w:rsid w:val="009909B4"/>
    <w:rsid w:val="00990DF0"/>
    <w:rsid w:val="00992CAE"/>
    <w:rsid w:val="00992DFF"/>
    <w:rsid w:val="009938A7"/>
    <w:rsid w:val="009946DC"/>
    <w:rsid w:val="00994BF8"/>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3E2"/>
    <w:rsid w:val="00A36852"/>
    <w:rsid w:val="00A408A1"/>
    <w:rsid w:val="00A4189A"/>
    <w:rsid w:val="00A419B1"/>
    <w:rsid w:val="00A41FD0"/>
    <w:rsid w:val="00A4356D"/>
    <w:rsid w:val="00A4500E"/>
    <w:rsid w:val="00A45B7A"/>
    <w:rsid w:val="00A45DF6"/>
    <w:rsid w:val="00A460AE"/>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4BF2"/>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942"/>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5FD4"/>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2C5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4C6D"/>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14999"/>
    <w:rsid w:val="00C21C52"/>
    <w:rsid w:val="00C21EA4"/>
    <w:rsid w:val="00C22658"/>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06EA"/>
    <w:rsid w:val="00D718B3"/>
    <w:rsid w:val="00D71E2D"/>
    <w:rsid w:val="00D730DF"/>
    <w:rsid w:val="00D76978"/>
    <w:rsid w:val="00D76E0F"/>
    <w:rsid w:val="00D81237"/>
    <w:rsid w:val="00D812BD"/>
    <w:rsid w:val="00D83BDB"/>
    <w:rsid w:val="00D9108C"/>
    <w:rsid w:val="00D9195C"/>
    <w:rsid w:val="00D93407"/>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266BA"/>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30E5"/>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18DF"/>
    <w:rsid w:val="00F323C2"/>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0A31"/>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1C4F"/>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237C"/>
    <w:rsid w:val="00FF364B"/>
    <w:rsid w:val="00FF3AB0"/>
    <w:rsid w:val="00FF4145"/>
    <w:rsid w:val="00FF4BF3"/>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4A990"/>
  <w15:docId w15:val="{DE576F86-338C-4957-A3DE-5DB26FF8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CE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5CE4"/>
    <w:pPr>
      <w:tabs>
        <w:tab w:val="center" w:pos="4320"/>
        <w:tab w:val="right" w:pos="8640"/>
      </w:tabs>
    </w:pPr>
  </w:style>
  <w:style w:type="paragraph" w:customStyle="1" w:styleId="APA">
    <w:name w:val="APA"/>
    <w:basedOn w:val="BodyText"/>
    <w:rsid w:val="002F5CE4"/>
    <w:pPr>
      <w:spacing w:after="0" w:line="480" w:lineRule="auto"/>
      <w:ind w:firstLine="720"/>
    </w:pPr>
    <w:rPr>
      <w:sz w:val="24"/>
    </w:rPr>
  </w:style>
  <w:style w:type="paragraph" w:styleId="BodyText">
    <w:name w:val="Body Text"/>
    <w:basedOn w:val="Normal"/>
    <w:rsid w:val="002F5CE4"/>
    <w:pPr>
      <w:spacing w:after="120"/>
    </w:pPr>
  </w:style>
  <w:style w:type="paragraph" w:styleId="Footer">
    <w:name w:val="footer"/>
    <w:basedOn w:val="Normal"/>
    <w:rsid w:val="002F5CE4"/>
    <w:pPr>
      <w:tabs>
        <w:tab w:val="center" w:pos="4320"/>
        <w:tab w:val="right" w:pos="8640"/>
      </w:tabs>
    </w:pPr>
  </w:style>
  <w:style w:type="character" w:styleId="PageNumber">
    <w:name w:val="page number"/>
    <w:basedOn w:val="DefaultParagraphFont"/>
    <w:rsid w:val="002F5CE4"/>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2F5CE4"/>
    <w:pPr>
      <w:ind w:left="720" w:firstLine="0"/>
    </w:pPr>
  </w:style>
  <w:style w:type="paragraph" w:customStyle="1" w:styleId="APABlockQuoteSubsequentPara">
    <w:name w:val="APA Block Quote Subsequent Para"/>
    <w:basedOn w:val="APA"/>
    <w:next w:val="APA"/>
    <w:rsid w:val="002F5CE4"/>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F5CE4"/>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F5CE4"/>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AE1942"/>
    <w:rPr>
      <w:sz w:val="16"/>
      <w:szCs w:val="16"/>
    </w:rPr>
  </w:style>
  <w:style w:type="paragraph" w:styleId="CommentText">
    <w:name w:val="annotation text"/>
    <w:basedOn w:val="Normal"/>
    <w:link w:val="CommentTextChar"/>
    <w:rsid w:val="00AE1942"/>
  </w:style>
  <w:style w:type="character" w:customStyle="1" w:styleId="CommentTextChar">
    <w:name w:val="Comment Text Char"/>
    <w:basedOn w:val="DefaultParagraphFont"/>
    <w:link w:val="CommentText"/>
    <w:rsid w:val="00AE1942"/>
  </w:style>
  <w:style w:type="paragraph" w:styleId="CommentSubject">
    <w:name w:val="annotation subject"/>
    <w:basedOn w:val="CommentText"/>
    <w:next w:val="CommentText"/>
    <w:link w:val="CommentSubjectChar"/>
    <w:rsid w:val="00AE1942"/>
    <w:rPr>
      <w:b/>
      <w:bCs/>
    </w:rPr>
  </w:style>
  <w:style w:type="character" w:customStyle="1" w:styleId="CommentSubjectChar">
    <w:name w:val="Comment Subject Char"/>
    <w:basedOn w:val="CommentTextChar"/>
    <w:link w:val="CommentSubject"/>
    <w:rsid w:val="00AE1942"/>
    <w:rPr>
      <w:b/>
      <w:bCs/>
    </w:rPr>
  </w:style>
  <w:style w:type="paragraph" w:styleId="BalloonText">
    <w:name w:val="Balloon Text"/>
    <w:basedOn w:val="Normal"/>
    <w:link w:val="BalloonTextChar"/>
    <w:rsid w:val="00AE1942"/>
    <w:rPr>
      <w:rFonts w:ascii="Tahoma" w:hAnsi="Tahoma" w:cs="Tahoma"/>
      <w:sz w:val="16"/>
      <w:szCs w:val="16"/>
    </w:rPr>
  </w:style>
  <w:style w:type="character" w:customStyle="1" w:styleId="BalloonTextChar">
    <w:name w:val="Balloon Text Char"/>
    <w:basedOn w:val="DefaultParagraphFont"/>
    <w:link w:val="BalloonText"/>
    <w:rsid w:val="00AE1942"/>
    <w:rPr>
      <w:rFonts w:ascii="Tahoma" w:hAnsi="Tahoma" w:cs="Tahoma"/>
      <w:sz w:val="16"/>
      <w:szCs w:val="16"/>
    </w:rPr>
  </w:style>
  <w:style w:type="character" w:styleId="Hyperlink">
    <w:name w:val="Hyperlink"/>
    <w:basedOn w:val="DefaultParagraphFont"/>
    <w:uiPriority w:val="99"/>
    <w:unhideWhenUsed/>
    <w:rsid w:val="001F0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owl.english.purdue.edu/owl/resource/560/02/"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2\Nuance\NATURA~1\Program\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PERRLA.dot</Template>
  <TotalTime>712</TotalTime>
  <Pages>7</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Mandatory Insurance Mandate</vt:lpstr>
    </vt:vector>
  </TitlesOfParts>
  <Company>Microsoft</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Insurance Mandate</dc:title>
  <dc:subject>Copyright</dc:subject>
  <dc:creator>Brooke Salas</dc:creator>
  <cp:lastModifiedBy>Michael Phares</cp:lastModifiedBy>
  <cp:revision>9</cp:revision>
  <dcterms:created xsi:type="dcterms:W3CDTF">2013-05-09T12:40:00Z</dcterms:created>
  <dcterms:modified xsi:type="dcterms:W3CDTF">2017-04-07T09:26:00Z</dcterms:modified>
</cp:coreProperties>
</file>